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spacing w:line="296" w:lineRule="atLeast"/>
        <w:ind w:left="220" w:hanging="220"/>
        <w:jc w:val="left"/>
        <w:rPr>
          <w:rFonts w:hint="default" w:ascii="ＭＳ 明朝" w:hAnsi="ＭＳ 明朝"/>
          <w:color w:val="000000"/>
          <w:spacing w:val="5"/>
          <w:kern w:val="0"/>
        </w:rPr>
      </w:pPr>
    </w:p>
    <w:p>
      <w:pPr>
        <w:pStyle w:val="0"/>
        <w:autoSpaceDE w:val="0"/>
        <w:autoSpaceDN w:val="0"/>
        <w:adjustRightInd w:val="0"/>
        <w:spacing w:line="296" w:lineRule="atLeast"/>
        <w:ind w:left="220" w:hanging="220"/>
        <w:jc w:val="left"/>
        <w:rPr>
          <w:rFonts w:hint="default" w:ascii="ＭＳ 明朝" w:hAnsi="ＭＳ 明朝"/>
          <w:color w:val="000000"/>
          <w:spacing w:val="5"/>
          <w:kern w:val="0"/>
        </w:rPr>
      </w:pPr>
    </w:p>
    <w:p>
      <w:pPr>
        <w:pStyle w:val="0"/>
        <w:autoSpaceDE w:val="0"/>
        <w:autoSpaceDN w:val="0"/>
        <w:adjustRightInd w:val="0"/>
        <w:spacing w:line="296" w:lineRule="atLeast"/>
        <w:ind w:left="220" w:hanging="220"/>
        <w:jc w:val="left"/>
        <w:rPr>
          <w:rFonts w:hint="default" w:ascii="ＭＳ 明朝" w:hAnsi="ＭＳ 明朝"/>
        </w:rPr>
      </w:pPr>
    </w:p>
    <w:tbl>
      <w:tblPr>
        <w:tblStyle w:val="11"/>
        <w:tblW w:w="8363" w:type="dxa"/>
        <w:tblInd w:w="9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8363"/>
      </w:tblGrid>
      <w:tr>
        <w:trPr>
          <w:trHeight w:val="12277" w:hRule="atLeast"/>
        </w:trPr>
        <w:tc>
          <w:tcPr>
            <w:tcW w:w="8363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（別添）</w:t>
            </w: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jc w:val="center"/>
              <w:rPr>
                <w:rFonts w:hint="default"/>
                <w:spacing w:val="6"/>
                <w:sz w:val="24"/>
              </w:rPr>
            </w:pPr>
            <w:r>
              <w:rPr>
                <w:rFonts w:hint="eastAsia"/>
                <w:spacing w:val="6"/>
                <w:sz w:val="24"/>
              </w:rPr>
              <w:t>仲</w:t>
            </w:r>
            <w:r>
              <w:rPr>
                <w:rFonts w:hint="eastAsia"/>
                <w:sz w:val="24"/>
              </w:rPr>
              <w:t>　　</w:t>
            </w:r>
            <w:r>
              <w:rPr>
                <w:rFonts w:hint="eastAsia"/>
                <w:spacing w:val="6"/>
                <w:sz w:val="24"/>
              </w:rPr>
              <w:t>裁</w:t>
            </w:r>
            <w:r>
              <w:rPr>
                <w:rFonts w:hint="eastAsia"/>
                <w:sz w:val="24"/>
              </w:rPr>
              <w:t>　　</w:t>
            </w:r>
            <w:r>
              <w:rPr>
                <w:rFonts w:hint="eastAsia"/>
                <w:spacing w:val="6"/>
                <w:sz w:val="24"/>
              </w:rPr>
              <w:t>合</w:t>
            </w:r>
            <w:r>
              <w:rPr>
                <w:rFonts w:hint="eastAsia"/>
                <w:sz w:val="24"/>
              </w:rPr>
              <w:t>　　</w:t>
            </w:r>
            <w:r>
              <w:rPr>
                <w:rFonts w:hint="eastAsia"/>
                <w:spacing w:val="6"/>
                <w:sz w:val="24"/>
              </w:rPr>
              <w:t>意</w:t>
            </w:r>
            <w:r>
              <w:rPr>
                <w:rFonts w:hint="eastAsia"/>
                <w:sz w:val="24"/>
              </w:rPr>
              <w:t>　　</w:t>
            </w:r>
            <w:r>
              <w:rPr>
                <w:rFonts w:hint="eastAsia"/>
                <w:spacing w:val="6"/>
                <w:sz w:val="24"/>
              </w:rPr>
              <w:t>書</w:t>
            </w: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　工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事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名　　旧コミュニティセンター栄解体工事</w:t>
            </w: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　工事場所　　五所川原市みどり町四丁目１３０　地内</w:t>
            </w: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令和８年　　月　　日に締結した上記建設工事の請負契約に関する紛争については、</w:t>
            </w: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発注者及び受注者は、下記の建設工事紛争審査会の仲裁に付し、その仲裁判断に服する。</w:t>
            </w: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jc w:val="center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管轄審査会名　青森県（中央）建設工事紛争審査会</w:t>
            </w: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  <w:r>
              <w:rPr>
                <w:rFonts w:hint="default"/>
              </w:rPr>
              <w:t xml:space="preserve">                </w:t>
            </w:r>
            <w:r>
              <w:rPr>
                <w:rFonts w:hint="eastAsia"/>
              </w:rPr>
              <w:t>　　　　　　　　　　　　　　　　　　令和　　　年　　月　　日</w:t>
            </w: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  <w:r>
              <w:rPr>
                <w:rFonts w:hint="default"/>
              </w:rPr>
              <w:t xml:space="preserve">                    </w:t>
            </w:r>
            <w:r>
              <w:rPr>
                <w:rFonts w:hint="eastAsia"/>
              </w:rPr>
              <w:t>　発注者　　　五所川原市長　佐々木　孝昌　　印</w:t>
            </w:r>
          </w:p>
          <w:p>
            <w:pPr>
              <w:pStyle w:val="0"/>
              <w:rPr>
                <w:rFonts w:hint="default"/>
                <w:spacing w:val="6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  <w:spacing w:val="6"/>
              </w:rPr>
            </w:pPr>
            <w:r>
              <w:rPr>
                <w:rFonts w:hint="default"/>
              </w:rPr>
              <w:t xml:space="preserve">                    </w:t>
            </w:r>
            <w:r>
              <w:rPr>
                <w:rFonts w:hint="eastAsia"/>
              </w:rPr>
              <w:t>　　　　　　　</w:t>
            </w:r>
          </w:p>
          <w:p>
            <w:pPr>
              <w:pStyle w:val="0"/>
              <w:autoSpaceDE w:val="0"/>
              <w:autoSpaceDN w:val="0"/>
              <w:adjustRightInd w:val="0"/>
              <w:spacing w:line="296" w:lineRule="atLeast"/>
              <w:jc w:val="left"/>
              <w:rPr>
                <w:rFonts w:hint="default"/>
              </w:rPr>
            </w:pPr>
            <w:r>
              <w:rPr>
                <w:rFonts w:hint="default"/>
              </w:rPr>
              <w:t xml:space="preserve">                    </w:t>
            </w:r>
            <w:r>
              <w:rPr>
                <w:rFonts w:hint="eastAsia"/>
              </w:rPr>
              <w:t>　受注者</w:t>
            </w:r>
            <w:r>
              <w:rPr>
                <w:rFonts w:hint="default"/>
              </w:rPr>
              <w:t xml:space="preserve">                 </w:t>
            </w:r>
            <w:r>
              <w:rPr>
                <w:rFonts w:hint="eastAsia"/>
              </w:rPr>
              <w:t>　　　　　　</w:t>
            </w:r>
            <w:r>
              <w:rPr>
                <w:rFonts w:hint="default"/>
              </w:rPr>
              <w:t xml:space="preserve">     </w:t>
            </w:r>
            <w:r>
              <w:rPr>
                <w:rFonts w:hint="eastAsia"/>
              </w:rPr>
              <w:t>　印</w:t>
            </w:r>
          </w:p>
          <w:p>
            <w:pPr>
              <w:pStyle w:val="0"/>
              <w:autoSpaceDE w:val="0"/>
              <w:autoSpaceDN w:val="0"/>
              <w:adjustRightInd w:val="0"/>
              <w:spacing w:line="296" w:lineRule="atLeast"/>
              <w:ind w:left="210" w:hanging="210" w:hangingChars="100"/>
              <w:jc w:val="left"/>
              <w:rPr>
                <w:rFonts w:hint="default" w:ascii="ＭＳ 明朝" w:hAnsi="ＭＳ 明朝"/>
              </w:rPr>
            </w:pPr>
          </w:p>
        </w:tc>
      </w:tr>
    </w:tbl>
    <w:p>
      <w:pPr>
        <w:pStyle w:val="0"/>
        <w:autoSpaceDE w:val="0"/>
        <w:autoSpaceDN w:val="0"/>
        <w:adjustRightInd w:val="0"/>
        <w:spacing w:line="296" w:lineRule="atLeast"/>
        <w:jc w:val="left"/>
        <w:rPr>
          <w:rFonts w:hint="default" w:ascii="ＭＳ 明朝" w:hAnsi="ＭＳ 明朝"/>
        </w:rPr>
      </w:pPr>
    </w:p>
    <w:tbl>
      <w:tblPr>
        <w:tblStyle w:val="11"/>
        <w:tblW w:w="8363" w:type="dxa"/>
        <w:tblInd w:w="9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8363"/>
      </w:tblGrid>
      <w:tr>
        <w:trPr>
          <w:trHeight w:val="12277" w:hRule="atLeast"/>
        </w:trPr>
        <w:tc>
          <w:tcPr>
            <w:tcW w:w="8363" w:type="dxa"/>
            <w:vAlign w:val="top"/>
          </w:tcPr>
          <w:p>
            <w:pPr>
              <w:pStyle w:val="0"/>
              <w:autoSpaceDE w:val="0"/>
              <w:autoSpaceDN w:val="0"/>
              <w:adjustRightInd w:val="0"/>
              <w:spacing w:line="296" w:lineRule="atLeast"/>
              <w:jc w:val="left"/>
              <w:rPr>
                <w:rFonts w:hint="default"/>
              </w:rPr>
            </w:pPr>
          </w:p>
          <w:p>
            <w:pPr>
              <w:pStyle w:val="0"/>
              <w:jc w:val="center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仲裁合意書について</w:t>
            </w:r>
          </w:p>
          <w:p>
            <w:pPr>
              <w:pStyle w:val="0"/>
              <w:spacing w:before="143" w:beforeLines="50" w:beforeAutospacing="0" w:after="143" w:afterLines="50" w:afterAutospacing="0"/>
              <w:rPr>
                <w:rFonts w:hint="default"/>
              </w:rPr>
            </w:pPr>
          </w:p>
          <w:p>
            <w:pPr>
              <w:pStyle w:val="0"/>
              <w:spacing w:after="286" w:afterLines="100" w:afterAutospacing="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１　仲裁合意について</w:t>
            </w:r>
          </w:p>
          <w:p>
            <w:pPr>
              <w:pStyle w:val="0"/>
              <w:spacing w:after="286" w:afterLines="100" w:afterAutospacing="0"/>
              <w:ind w:left="210" w:hanging="210" w:hangingChars="100"/>
              <w:rPr>
                <w:rFonts w:hint="default"/>
              </w:rPr>
            </w:pPr>
            <w:r>
              <w:rPr>
                <w:rFonts w:hint="eastAsia"/>
              </w:rPr>
              <w:t>　　仲裁合意とは、裁判所への訴訟に代えて、紛争の解決を仲裁人に委ねることを約す</w:t>
            </w:r>
          </w:p>
          <w:p>
            <w:pPr>
              <w:pStyle w:val="0"/>
              <w:spacing w:after="286" w:afterLines="100" w:afterAutospacing="0"/>
              <w:ind w:left="210" w:leftChars="10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る当事者間の契約である。</w:t>
            </w:r>
          </w:p>
          <w:p>
            <w:pPr>
              <w:pStyle w:val="15"/>
              <w:wordWrap w:val="1"/>
              <w:overflowPunct w:val="1"/>
              <w:autoSpaceDE w:val="1"/>
              <w:autoSpaceDN w:val="1"/>
              <w:spacing w:after="286" w:afterLines="100" w:afterAutospacing="0"/>
              <w:ind w:left="210" w:hanging="210" w:hangingChars="100"/>
              <w:rPr>
                <w:rFonts w:hint="default" w:ascii="Century" w:hAnsi="Century"/>
              </w:rPr>
            </w:pPr>
            <w:r>
              <w:rPr>
                <w:rFonts w:hint="eastAsia" w:ascii="Century" w:hAnsi="Century"/>
              </w:rPr>
              <w:t>　　仲裁手続によってなされる仲裁判断は、裁判上の確定判決と同一の効力を有し、た</w:t>
            </w:r>
          </w:p>
          <w:p>
            <w:pPr>
              <w:pStyle w:val="15"/>
              <w:wordWrap w:val="1"/>
              <w:overflowPunct w:val="1"/>
              <w:autoSpaceDE w:val="1"/>
              <w:autoSpaceDN w:val="1"/>
              <w:spacing w:after="286" w:afterLines="100" w:afterAutospacing="0"/>
              <w:ind w:left="210" w:leftChars="100" w:firstLine="0"/>
              <w:rPr>
                <w:rFonts w:hint="default" w:ascii="Century" w:hAnsi="Century"/>
              </w:rPr>
            </w:pPr>
            <w:r>
              <w:rPr>
                <w:rFonts w:hint="eastAsia" w:ascii="Century" w:hAnsi="Century"/>
              </w:rPr>
              <w:t>とえその仲裁判断の内容に不服があっても、その内容を裁判所で争うことはできな</w:t>
            </w:r>
          </w:p>
          <w:p>
            <w:pPr>
              <w:pStyle w:val="15"/>
              <w:wordWrap w:val="1"/>
              <w:overflowPunct w:val="1"/>
              <w:autoSpaceDE w:val="1"/>
              <w:autoSpaceDN w:val="1"/>
              <w:spacing w:after="286" w:afterLines="100" w:afterAutospacing="0"/>
              <w:ind w:left="210" w:leftChars="100" w:firstLine="0"/>
              <w:rPr>
                <w:rFonts w:hint="default" w:ascii="Century" w:hAnsi="Century"/>
                <w:spacing w:val="6"/>
              </w:rPr>
            </w:pPr>
            <w:bookmarkStart w:id="0" w:name="_GoBack"/>
            <w:bookmarkEnd w:id="0"/>
            <w:r>
              <w:rPr>
                <w:rFonts w:hint="eastAsia" w:ascii="Century" w:hAnsi="Century"/>
              </w:rPr>
              <w:t>い。</w:t>
            </w:r>
          </w:p>
          <w:p>
            <w:pPr>
              <w:pStyle w:val="0"/>
              <w:spacing w:after="286" w:afterLines="100" w:afterAutospacing="0"/>
              <w:ind w:left="210" w:hanging="210" w:hangingChars="10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２　建設工事紛争審査会について</w:t>
            </w:r>
          </w:p>
          <w:p>
            <w:pPr>
              <w:pStyle w:val="0"/>
              <w:spacing w:after="286" w:afterLines="100" w:afterAutospacing="0"/>
              <w:ind w:left="210" w:hanging="210" w:hangingChars="100"/>
              <w:rPr>
                <w:rFonts w:hint="default"/>
              </w:rPr>
            </w:pPr>
            <w:r>
              <w:rPr>
                <w:rFonts w:hint="eastAsia"/>
              </w:rPr>
              <w:t>　　建設工事紛争審査会（以下「審査会」という｡）は、建設工事の請負契約に関する</w:t>
            </w:r>
          </w:p>
          <w:p>
            <w:pPr>
              <w:pStyle w:val="0"/>
              <w:spacing w:after="286" w:afterLines="100" w:afterAutospacing="0"/>
              <w:ind w:left="210" w:leftChars="100"/>
              <w:rPr>
                <w:rFonts w:hint="default"/>
              </w:rPr>
            </w:pPr>
            <w:r>
              <w:rPr>
                <w:rFonts w:hint="eastAsia"/>
              </w:rPr>
              <w:t>紛争の解決を図るため建設業法（昭和</w:t>
            </w:r>
            <w:r>
              <w:rPr>
                <w:rFonts w:hint="default"/>
              </w:rPr>
              <w:t>24</w:t>
            </w:r>
            <w:r>
              <w:rPr>
                <w:rFonts w:hint="eastAsia"/>
              </w:rPr>
              <w:t>年法律第</w:t>
            </w:r>
            <w:r>
              <w:rPr>
                <w:rFonts w:hint="default"/>
              </w:rPr>
              <w:t>100</w:t>
            </w:r>
            <w:r>
              <w:rPr>
                <w:rFonts w:hint="eastAsia"/>
              </w:rPr>
              <w:t>号）に基づいて設置されてお</w:t>
            </w:r>
          </w:p>
          <w:p>
            <w:pPr>
              <w:pStyle w:val="0"/>
              <w:spacing w:after="286" w:afterLines="100" w:afterAutospacing="0"/>
              <w:ind w:left="210" w:leftChars="10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り、同法の規定により、あっせん、調停及び仲裁を行う権限を有している。</w:t>
            </w:r>
          </w:p>
          <w:p>
            <w:pPr>
              <w:pStyle w:val="0"/>
              <w:spacing w:after="286" w:afterLines="100" w:afterAutospacing="0"/>
              <w:ind w:left="210" w:hanging="210" w:hangingChars="100"/>
              <w:rPr>
                <w:rFonts w:hint="default"/>
              </w:rPr>
            </w:pPr>
            <w:r>
              <w:rPr>
                <w:rFonts w:hint="eastAsia"/>
              </w:rPr>
              <w:t>　　また、中央建設工事紛争審査会（以下「中央審査会」という｡）は国土交通省に、</w:t>
            </w:r>
          </w:p>
          <w:p>
            <w:pPr>
              <w:pStyle w:val="0"/>
              <w:spacing w:after="286" w:afterLines="100" w:afterAutospacing="0"/>
              <w:ind w:left="210" w:leftChars="100"/>
              <w:rPr>
                <w:rFonts w:hint="default"/>
              </w:rPr>
            </w:pPr>
            <w:r>
              <w:rPr>
                <w:rFonts w:hint="eastAsia"/>
              </w:rPr>
              <w:t>青森県建設工事紛争審査会（以下「青森県審査会」という｡</w:t>
            </w:r>
            <w:r>
              <w:rPr>
                <w:rFonts w:hint="default"/>
              </w:rPr>
              <w:t>)</w:t>
            </w:r>
            <w:r>
              <w:rPr>
                <w:rFonts w:hint="eastAsia"/>
              </w:rPr>
              <w:t>は青森県に設置されてい</w:t>
            </w:r>
          </w:p>
          <w:p>
            <w:pPr>
              <w:pStyle w:val="0"/>
              <w:spacing w:after="286" w:afterLines="100" w:afterAutospacing="0"/>
              <w:ind w:left="210" w:leftChars="100"/>
              <w:rPr>
                <w:rFonts w:hint="default"/>
              </w:rPr>
            </w:pPr>
            <w:r>
              <w:rPr>
                <w:rFonts w:hint="eastAsia"/>
              </w:rPr>
              <w:t>る。審査会の管轄は、原則として、受注者が国土交通大臣の許可を受けた建設業者で</w:t>
            </w:r>
          </w:p>
          <w:p>
            <w:pPr>
              <w:pStyle w:val="0"/>
              <w:spacing w:after="286" w:afterLines="100" w:afterAutospacing="0"/>
              <w:ind w:left="210" w:leftChars="100"/>
              <w:rPr>
                <w:rFonts w:hint="default"/>
              </w:rPr>
            </w:pPr>
            <w:r>
              <w:rPr>
                <w:rFonts w:hint="eastAsia"/>
              </w:rPr>
              <w:t>あるときは中央審査会、青森県知事　の許可を受けた建設業者であるときは青森県審</w:t>
            </w:r>
          </w:p>
          <w:p>
            <w:pPr>
              <w:pStyle w:val="0"/>
              <w:spacing w:after="286" w:afterLines="100" w:afterAutospacing="0"/>
              <w:ind w:left="210" w:leftChars="10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査会であるが、当事者の　合意によって管轄審査会を定めることもできる。</w:t>
            </w:r>
          </w:p>
          <w:p>
            <w:pPr>
              <w:pStyle w:val="0"/>
              <w:spacing w:after="286" w:afterLines="100" w:afterAutospacing="0"/>
              <w:ind w:left="210" w:hanging="210" w:hangingChars="100"/>
              <w:rPr>
                <w:rFonts w:hint="default"/>
              </w:rPr>
            </w:pPr>
            <w:r>
              <w:rPr>
                <w:rFonts w:hint="eastAsia"/>
              </w:rPr>
              <w:t>　　審査会による仲裁は、三人の仲裁委員が行い、仲裁委員は、審査会の委員又は特別</w:t>
            </w:r>
          </w:p>
          <w:p>
            <w:pPr>
              <w:pStyle w:val="0"/>
              <w:spacing w:after="286" w:afterLines="100" w:afterAutospacing="0"/>
              <w:ind w:left="210" w:leftChars="10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委員のうちから当事者が合意によって選定した者につき、審査会の会長が指名する。</w:t>
            </w:r>
          </w:p>
          <w:p>
            <w:pPr>
              <w:pStyle w:val="0"/>
              <w:spacing w:after="286" w:afterLines="100" w:afterAutospacing="0"/>
              <w:ind w:left="210" w:hanging="210" w:hangingChars="100"/>
              <w:rPr>
                <w:rFonts w:hint="default"/>
              </w:rPr>
            </w:pPr>
            <w:r>
              <w:rPr>
                <w:rFonts w:hint="eastAsia"/>
              </w:rPr>
              <w:t>　　また、仲裁委員のうち少なくとも一人は、弁護士法（昭和</w:t>
            </w:r>
            <w:r>
              <w:rPr>
                <w:rFonts w:hint="default"/>
              </w:rPr>
              <w:t>24</w:t>
            </w:r>
            <w:r>
              <w:rPr>
                <w:rFonts w:hint="eastAsia"/>
              </w:rPr>
              <w:t>年法律第</w:t>
            </w:r>
            <w:r>
              <w:rPr>
                <w:rFonts w:hint="default"/>
              </w:rPr>
              <w:t>205</w:t>
            </w:r>
            <w:r>
              <w:rPr>
                <w:rFonts w:hint="eastAsia"/>
              </w:rPr>
              <w:t>号）の</w:t>
            </w:r>
          </w:p>
          <w:p>
            <w:pPr>
              <w:pStyle w:val="0"/>
              <w:spacing w:after="286" w:afterLines="100" w:afterAutospacing="0"/>
              <w:ind w:left="210" w:leftChars="100"/>
              <w:rPr>
                <w:rFonts w:hint="default"/>
                <w:spacing w:val="6"/>
              </w:rPr>
            </w:pPr>
            <w:r>
              <w:rPr>
                <w:rFonts w:hint="eastAsia"/>
              </w:rPr>
              <w:t>規定により弁護士の資格を有する者である。</w:t>
            </w:r>
          </w:p>
          <w:p>
            <w:pPr>
              <w:pStyle w:val="0"/>
              <w:autoSpaceDE w:val="0"/>
              <w:autoSpaceDN w:val="0"/>
              <w:adjustRightInd w:val="0"/>
              <w:spacing w:after="286" w:afterLines="100" w:afterAutospacing="0" w:line="296" w:lineRule="atLeast"/>
              <w:ind w:left="210" w:hanging="210" w:hangingChars="100"/>
              <w:jc w:val="left"/>
              <w:rPr>
                <w:rFonts w:hint="default"/>
              </w:rPr>
            </w:pPr>
            <w:r>
              <w:rPr>
                <w:rFonts w:hint="eastAsia"/>
              </w:rPr>
              <w:t>　　なお、審査会における仲裁手続は、建設業法に特別の定めがある場合を除き、仲裁</w:t>
            </w:r>
          </w:p>
          <w:p>
            <w:pPr>
              <w:pStyle w:val="0"/>
              <w:autoSpaceDE w:val="0"/>
              <w:autoSpaceDN w:val="0"/>
              <w:adjustRightInd w:val="0"/>
              <w:spacing w:after="286" w:afterLines="100" w:afterAutospacing="0" w:line="296" w:lineRule="atLeast"/>
              <w:ind w:left="210" w:leftChars="100"/>
              <w:jc w:val="left"/>
              <w:rPr>
                <w:rFonts w:hint="default" w:ascii="ＭＳ 明朝" w:hAnsi="ＭＳ 明朝"/>
              </w:rPr>
            </w:pPr>
            <w:r>
              <w:rPr>
                <w:rFonts w:hint="eastAsia"/>
              </w:rPr>
              <w:t>法（平成</w:t>
            </w:r>
            <w:r>
              <w:rPr>
                <w:rFonts w:hint="default"/>
              </w:rPr>
              <w:t>15</w:t>
            </w:r>
            <w:r>
              <w:rPr>
                <w:rFonts w:hint="eastAsia"/>
              </w:rPr>
              <w:t>年法律第</w:t>
            </w:r>
            <w:r>
              <w:rPr>
                <w:rFonts w:hint="default"/>
              </w:rPr>
              <w:t>138</w:t>
            </w:r>
            <w:r>
              <w:rPr>
                <w:rFonts w:hint="eastAsia"/>
              </w:rPr>
              <w:t>号）の規定が適用される。</w:t>
            </w:r>
          </w:p>
        </w:tc>
      </w:tr>
    </w:tbl>
    <w:p>
      <w:pPr>
        <w:pStyle w:val="0"/>
        <w:autoSpaceDE w:val="0"/>
        <w:autoSpaceDN w:val="0"/>
        <w:adjustRightInd w:val="0"/>
        <w:spacing w:line="296" w:lineRule="atLeast"/>
        <w:jc w:val="left"/>
        <w:rPr>
          <w:rFonts w:hint="default" w:ascii="ＭＳ 明朝" w:hAnsi="ＭＳ 明朝"/>
        </w:rPr>
      </w:pPr>
    </w:p>
    <w:sectPr>
      <w:footerReference r:id="rId5" w:type="default"/>
      <w:pgSz w:w="11906" w:h="16838"/>
      <w:pgMar w:top="998" w:right="998" w:bottom="998" w:left="998" w:header="720" w:footer="720" w:gutter="0"/>
      <w:pgNumType w:start="1"/>
      <w:cols w:space="720"/>
      <w:noEndnote w:val="1"/>
      <w:titlePg w:val="1"/>
      <w:textDirection w:val="lrTb"/>
      <w:docGrid w:linePitch="28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autoSpaceDE w:val="0"/>
      <w:autoSpaceDN w:val="0"/>
      <w:adjustRightInd w:val="0"/>
      <w:rPr>
        <w:rFonts w:hint="default" w:ascii="ＭＳ 明朝" w:hAnsi="ＭＳ 明朝"/>
        <w:kern w:val="0"/>
        <w:sz w:val="24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項"/>
    <w:basedOn w:val="0"/>
    <w:next w:val="15"/>
    <w:link w:val="0"/>
    <w:uiPriority w:val="0"/>
    <w:pPr>
      <w:wordWrap w:val="0"/>
      <w:overflowPunct w:val="0"/>
      <w:autoSpaceDE w:val="0"/>
      <w:autoSpaceDN w:val="0"/>
      <w:ind w:left="210" w:hanging="210"/>
    </w:pPr>
    <w:rPr>
      <w:rFonts w:ascii="ＭＳ 明朝" w:hAnsi="ＭＳ 明朝"/>
    </w:rPr>
  </w:style>
  <w:style w:type="paragraph" w:styleId="16">
    <w:name w:val="Body Text 2"/>
    <w:basedOn w:val="0"/>
    <w:next w:val="16"/>
    <w:link w:val="17"/>
    <w:uiPriority w:val="0"/>
    <w:pPr>
      <w:ind w:left="567" w:leftChars="1" w:hanging="565" w:hangingChars="269"/>
    </w:pPr>
  </w:style>
  <w:style w:type="character" w:styleId="17" w:customStyle="1">
    <w:name w:val="本文 2 (文字)"/>
    <w:basedOn w:val="10"/>
    <w:next w:val="17"/>
    <w:link w:val="16"/>
    <w:uiPriority w:val="0"/>
    <w:rPr>
      <w:rFonts w:ascii="Century" w:hAnsi="Century" w:eastAsia="ＭＳ 明朝"/>
      <w:sz w:val="21"/>
    </w:rPr>
  </w:style>
  <w:style w:type="paragraph" w:styleId="18">
    <w:name w:val="Body Text Indent 2"/>
    <w:basedOn w:val="0"/>
    <w:next w:val="18"/>
    <w:link w:val="19"/>
    <w:uiPriority w:val="0"/>
    <w:pPr>
      <w:autoSpaceDE w:val="0"/>
      <w:autoSpaceDN w:val="0"/>
      <w:adjustRightInd w:val="0"/>
      <w:spacing w:line="296" w:lineRule="atLeast"/>
      <w:ind w:left="220" w:hanging="220"/>
      <w:jc w:val="left"/>
    </w:pPr>
    <w:rPr>
      <w:rFonts w:ascii="ＭＳ 明朝" w:hAnsi="ＭＳ 明朝"/>
      <w:color w:val="000000"/>
      <w:spacing w:val="5"/>
      <w:kern w:val="0"/>
    </w:rPr>
  </w:style>
  <w:style w:type="character" w:styleId="19" w:customStyle="1">
    <w:name w:val="本文インデント 2 (文字)"/>
    <w:basedOn w:val="10"/>
    <w:next w:val="19"/>
    <w:link w:val="18"/>
    <w:uiPriority w:val="0"/>
    <w:rPr>
      <w:rFonts w:ascii="Century" w:hAnsi="Century" w:eastAsia="ＭＳ 明朝"/>
      <w:sz w:val="21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basedOn w:val="10"/>
    <w:next w:val="21"/>
    <w:link w:val="20"/>
    <w:uiPriority w:val="0"/>
    <w:rPr>
      <w:rFonts w:ascii="Century" w:hAnsi="Century" w:eastAsia="ＭＳ 明朝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basedOn w:val="10"/>
    <w:next w:val="23"/>
    <w:link w:val="22"/>
    <w:uiPriority w:val="0"/>
    <w:rPr>
      <w:rFonts w:ascii="Century" w:hAnsi="Century" w:eastAsia="ＭＳ 明朝"/>
      <w:sz w:val="21"/>
    </w:rPr>
  </w:style>
  <w:style w:type="character" w:styleId="24">
    <w:name w:val="page number"/>
    <w:basedOn w:val="10"/>
    <w:next w:val="24"/>
    <w:link w:val="0"/>
    <w:uiPriority w:val="0"/>
  </w:style>
  <w:style w:type="paragraph" w:styleId="25">
    <w:name w:val="Balloon Text"/>
    <w:basedOn w:val="0"/>
    <w:next w:val="25"/>
    <w:link w:val="26"/>
    <w:uiPriority w:val="0"/>
    <w:semiHidden/>
    <w:rPr>
      <w:rFonts w:asciiTheme="majorHAnsi" w:hAnsiTheme="majorHAnsi" w:eastAsiaTheme="majorEastAsia"/>
      <w:sz w:val="18"/>
    </w:rPr>
  </w:style>
  <w:style w:type="character" w:styleId="26" w:customStyle="1">
    <w:name w:val="吹き出し (文字)"/>
    <w:basedOn w:val="10"/>
    <w:next w:val="26"/>
    <w:link w:val="25"/>
    <w:uiPriority w:val="0"/>
    <w:rPr>
      <w:rFonts w:asciiTheme="majorHAnsi" w:hAnsiTheme="majorHAnsi" w:eastAsiaTheme="majorEastAsia"/>
      <w:sz w:val="18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33</TotalTime>
  <Pages>2</Pages>
  <Words>6</Words>
  <Characters>808</Characters>
  <Application>JUST Note</Application>
  <Lines>71</Lines>
  <Paragraphs>33</Paragraphs>
  <CharactersWithSpaces>995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建設工事請負契約書</dc:title>
  <dc:creator>五所川原市役所</dc:creator>
  <cp:lastModifiedBy>user</cp:lastModifiedBy>
  <cp:lastPrinted>2017-06-30T02:08:00Z</cp:lastPrinted>
  <dcterms:created xsi:type="dcterms:W3CDTF">2018-03-18T02:29:00Z</dcterms:created>
  <dcterms:modified xsi:type="dcterms:W3CDTF">2025-10-14T06:21:14Z</dcterms:modified>
  <cp:revision>3</cp:revision>
</cp:coreProperties>
</file>